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2351" w:rsidRPr="00737A7A" w:rsidTr="00612351">
        <w:trPr>
          <w:trHeight w:val="607"/>
          <w:jc w:val="center"/>
        </w:trPr>
        <w:tc>
          <w:tcPr>
            <w:tcW w:w="10207" w:type="dxa"/>
            <w:shd w:val="clear" w:color="auto" w:fill="D6E3BC" w:themeFill="accent3" w:themeFillTint="66"/>
            <w:vAlign w:val="center"/>
          </w:tcPr>
          <w:p w:rsidR="00612351" w:rsidRPr="00737A7A" w:rsidRDefault="00612351" w:rsidP="00720139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612351">
              <w:rPr>
                <w:rFonts w:asciiTheme="minorHAnsi" w:hAnsiTheme="minorHAnsi" w:cstheme="minorHAnsi"/>
                <w:caps w:val="0"/>
                <w:sz w:val="32"/>
                <w:szCs w:val="20"/>
              </w:rPr>
              <w:t xml:space="preserve">EVIDENCIA ZMIEN </w:t>
            </w:r>
            <w:r w:rsidR="00720139">
              <w:rPr>
                <w:rFonts w:asciiTheme="minorHAnsi" w:hAnsiTheme="minorHAnsi" w:cstheme="minorHAnsi"/>
                <w:caps w:val="0"/>
                <w:sz w:val="32"/>
                <w:szCs w:val="20"/>
              </w:rPr>
              <w:t>PRÍRUČKY PRE PRIJÍMATEĽA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612351" w:rsidRPr="002E5F16" w:rsidTr="00737A7A">
        <w:trPr>
          <w:trHeight w:val="607"/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Vykonal</w:t>
            </w:r>
            <w:r w:rsidR="00612351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612351" w:rsidRPr="00737A7A" w:rsidRDefault="00612351" w:rsidP="0088512C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Dátum</w:t>
            </w:r>
            <w:r w:rsidR="0088512C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účinnosti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  <w:vAlign w:val="center"/>
          </w:tcPr>
          <w:p w:rsidR="000D1598" w:rsidRPr="004254A7" w:rsidRDefault="000F467D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0D1598" w:rsidRPr="004254A7" w:rsidRDefault="00E27812" w:rsidP="000F467D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</w:p>
        </w:tc>
        <w:tc>
          <w:tcPr>
            <w:tcW w:w="1984" w:type="dxa"/>
            <w:vAlign w:val="center"/>
          </w:tcPr>
          <w:p w:rsidR="000D1598" w:rsidRPr="004254A7" w:rsidRDefault="00720139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0D1598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05/2024</w:t>
            </w:r>
          </w:p>
        </w:tc>
      </w:tr>
      <w:tr w:rsidR="002E5F16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D1598" w:rsidRPr="00737A7A" w:rsidRDefault="000D1598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</w:tcPr>
          <w:p w:rsidR="000D1598" w:rsidRPr="002E5F16" w:rsidRDefault="0034195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všetky</w:t>
            </w:r>
          </w:p>
        </w:tc>
        <w:tc>
          <w:tcPr>
            <w:tcW w:w="3686" w:type="dxa"/>
          </w:tcPr>
          <w:p w:rsidR="004254A7" w:rsidRPr="004254A7" w:rsidRDefault="004254A7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</w:tcPr>
          <w:p w:rsidR="000D1598" w:rsidRPr="002E5F16" w:rsidRDefault="00720139" w:rsidP="00720139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Vypracovanie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PpP</w:t>
            </w:r>
            <w:proofErr w:type="spellEnd"/>
            <w:r w:rsidR="004254A7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 príloh v zmysle 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vzoru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Príručky pre prijímateľa, zverejnený Riadiacim orgánom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4254A7" w:rsidRPr="002E5F16" w:rsidTr="003A519B">
        <w:trPr>
          <w:jc w:val="center"/>
        </w:trPr>
        <w:tc>
          <w:tcPr>
            <w:tcW w:w="1417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4254A7" w:rsidRPr="004254A7" w:rsidRDefault="00E27812" w:rsidP="00737A7A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RPM, </w:t>
            </w:r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4254A7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09/2024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4254A7" w:rsidRPr="00737A7A" w:rsidRDefault="00697706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kapitoly/ bod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4254A7" w:rsidRPr="00737A7A" w:rsidRDefault="00E5689F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BC5A95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BC5A95" w:rsidRDefault="00BC5A95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Otz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žiadateľa</w:t>
            </w: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BC5A95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postupu v prípade, ak ITMS neumožňuje predložiť dokumentáciu </w:t>
            </w:r>
          </w:p>
        </w:tc>
      </w:tr>
      <w:tr w:rsidR="00E246C3" w:rsidRPr="002E5F16" w:rsidTr="00A9460B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686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Technická úprava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„finančná“ z pojmu finančná kontrola</w:t>
            </w:r>
          </w:p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DC040D" w:rsidRPr="002E5F16" w:rsidTr="00A9460B">
        <w:trPr>
          <w:jc w:val="center"/>
        </w:trPr>
        <w:tc>
          <w:tcPr>
            <w:tcW w:w="1417" w:type="dxa"/>
            <w:vAlign w:val="center"/>
          </w:tcPr>
          <w:p w:rsidR="00DC040D" w:rsidRDefault="00DC040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3.6</w:t>
            </w:r>
          </w:p>
        </w:tc>
        <w:tc>
          <w:tcPr>
            <w:tcW w:w="3686" w:type="dxa"/>
            <w:vAlign w:val="center"/>
          </w:tcPr>
          <w:p w:rsidR="00DC040D" w:rsidRDefault="00DC040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DC040D" w:rsidRPr="00DC040D" w:rsidRDefault="00DC040D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predkladať Správu o nakladaní s odpadmi do 31.3. príslušného roka na MD SR samostatne (mimo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). Informáciu o predložení správy uvedie prijímateľ do prvej predloženej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 tomto termíne</w:t>
            </w:r>
          </w:p>
        </w:tc>
      </w:tr>
      <w:tr w:rsidR="00E27812" w:rsidRPr="002E5F16" w:rsidTr="00A9460B">
        <w:trPr>
          <w:jc w:val="center"/>
        </w:trPr>
        <w:tc>
          <w:tcPr>
            <w:tcW w:w="1417" w:type="dxa"/>
            <w:vAlign w:val="center"/>
          </w:tcPr>
          <w:p w:rsidR="00E27812" w:rsidRPr="002C1017" w:rsidRDefault="00E27812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3.7</w:t>
            </w:r>
          </w:p>
        </w:tc>
        <w:tc>
          <w:tcPr>
            <w:tcW w:w="3686" w:type="dxa"/>
            <w:vAlign w:val="center"/>
          </w:tcPr>
          <w:p w:rsidR="00E27812" w:rsidRPr="004254A7" w:rsidRDefault="00E27812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E27812" w:rsidRPr="00E246C3" w:rsidRDefault="00E27812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0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Ustanovenia k neúročenému účtu, ktorý sa neuplatňuje pri systéme refundácie a prijímateľovi implementujúceho FN</w:t>
            </w:r>
          </w:p>
        </w:tc>
      </w:tr>
      <w:tr w:rsidR="00E246C3" w:rsidRPr="002E5F16" w:rsidTr="00A9460B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3.10</w:t>
            </w:r>
          </w:p>
        </w:tc>
        <w:tc>
          <w:tcPr>
            <w:tcW w:w="3686" w:type="dxa"/>
            <w:vAlign w:val="center"/>
          </w:tcPr>
          <w:p w:rsidR="00E246C3" w:rsidRDefault="00DC040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videozáznamu v rámci predkladania Výročnej monitorovacej správy</w:t>
            </w:r>
          </w:p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doplňujúcich monitorovacích údajov k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ED1E8E" w:rsidRPr="002E5F16" w:rsidTr="00A9460B">
        <w:trPr>
          <w:jc w:val="center"/>
        </w:trPr>
        <w:tc>
          <w:tcPr>
            <w:tcW w:w="1417" w:type="dxa"/>
            <w:vAlign w:val="center"/>
          </w:tcPr>
          <w:p w:rsidR="00ED1E8E" w:rsidRPr="002C1017" w:rsidRDefault="00ED1E8E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vAlign w:val="center"/>
          </w:tcPr>
          <w:p w:rsidR="00ED1E8E" w:rsidRPr="004254A7" w:rsidRDefault="00ED1E8E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</w:t>
            </w:r>
          </w:p>
        </w:tc>
        <w:tc>
          <w:tcPr>
            <w:tcW w:w="5104" w:type="dxa"/>
            <w:gridSpan w:val="2"/>
            <w:vAlign w:val="center"/>
          </w:tcPr>
          <w:p w:rsidR="00ED1E8E" w:rsidRPr="00DC040D" w:rsidRDefault="00ED1E8E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C040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Mechanizmus indexácie cien projektov PSK</w:t>
            </w:r>
          </w:p>
        </w:tc>
      </w:tr>
      <w:tr w:rsidR="00FD0A86" w:rsidRPr="002E5F16" w:rsidTr="00A9460B">
        <w:trPr>
          <w:jc w:val="center"/>
        </w:trPr>
        <w:tc>
          <w:tcPr>
            <w:tcW w:w="1417" w:type="dxa"/>
            <w:vAlign w:val="center"/>
          </w:tcPr>
          <w:p w:rsidR="00FD0A86" w:rsidRPr="002C1017" w:rsidRDefault="00FD0A86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9</w:t>
            </w:r>
          </w:p>
        </w:tc>
        <w:tc>
          <w:tcPr>
            <w:tcW w:w="3686" w:type="dxa"/>
            <w:vAlign w:val="center"/>
          </w:tcPr>
          <w:p w:rsidR="00FD0A86" w:rsidRPr="004254A7" w:rsidRDefault="00FD0A86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foriem financovania</w:t>
            </w:r>
          </w:p>
          <w:p w:rsidR="00FD0A86" w:rsidRP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zúčtovania 100 % každého poskytnutého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AB1157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13</w:t>
            </w:r>
          </w:p>
        </w:tc>
        <w:tc>
          <w:tcPr>
            <w:tcW w:w="3686" w:type="dxa"/>
            <w:vAlign w:val="center"/>
          </w:tcPr>
          <w:p w:rsidR="00BC5A95" w:rsidRDefault="00BC5A95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AB1157" w:rsidP="00E246C3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Neaktuálne ustanovenia</w:t>
            </w:r>
          </w:p>
        </w:tc>
        <w:tc>
          <w:tcPr>
            <w:tcW w:w="5104" w:type="dxa"/>
            <w:gridSpan w:val="2"/>
            <w:vAlign w:val="center"/>
          </w:tcPr>
          <w:p w:rsidR="00BC5A95" w:rsidRDefault="00E246C3" w:rsidP="00BC5A95">
            <w:pPr>
              <w:pStyle w:val="Odsekzoznamu"/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týkajúcich sa dočasných riešení v ITMS2014+</w:t>
            </w:r>
          </w:p>
        </w:tc>
      </w:tr>
    </w:tbl>
    <w:p w:rsidR="0070675C" w:rsidRPr="002E5F16" w:rsidRDefault="0070675C" w:rsidP="0070675C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568"/>
        <w:gridCol w:w="2552"/>
      </w:tblGrid>
      <w:tr w:rsidR="0070675C" w:rsidRPr="002E5F16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gridSpan w:val="2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Pr="004254A7" w:rsidRDefault="0070675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70675C" w:rsidRPr="004254A7" w:rsidRDefault="0070675C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70675C" w:rsidRPr="004254A7" w:rsidRDefault="00FB381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GRS</w:t>
            </w:r>
          </w:p>
        </w:tc>
        <w:tc>
          <w:tcPr>
            <w:tcW w:w="3120" w:type="dxa"/>
            <w:gridSpan w:val="2"/>
            <w:vAlign w:val="center"/>
          </w:tcPr>
          <w:p w:rsidR="0070675C" w:rsidRPr="002E5F16" w:rsidRDefault="00FB381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02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/2025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3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7E75F5" w:rsidRPr="002E5F16" w:rsidTr="00A9460B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použitých skratiek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E75F5" w:rsidRDefault="007E75F5" w:rsidP="0070675C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skratiek</w:t>
            </w:r>
          </w:p>
        </w:tc>
      </w:tr>
      <w:tr w:rsidR="00815B6E" w:rsidRPr="002E5F16" w:rsidTr="00A9460B">
        <w:trPr>
          <w:jc w:val="center"/>
        </w:trPr>
        <w:tc>
          <w:tcPr>
            <w:tcW w:w="1417" w:type="dxa"/>
            <w:vAlign w:val="center"/>
          </w:tcPr>
          <w:p w:rsidR="00815B6E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1</w:t>
            </w:r>
          </w:p>
        </w:tc>
        <w:tc>
          <w:tcPr>
            <w:tcW w:w="3686" w:type="dxa"/>
            <w:vAlign w:val="center"/>
          </w:tcPr>
          <w:p w:rsidR="00815B6E" w:rsidRDefault="00815B6E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815B6E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spresnenia záväznosti príručky</w:t>
            </w:r>
          </w:p>
          <w:p w:rsidR="007E75F5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presnejších webových odkazov na dokumenty</w:t>
            </w:r>
          </w:p>
          <w:p w:rsidR="007E75F5" w:rsidRP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Spresnenie zverejňovania príručky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3.4.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z RO n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 CKO (príručka pre oprávnenosť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výdavkov) </w:t>
            </w:r>
          </w:p>
        </w:tc>
      </w:tr>
      <w:tr w:rsidR="007E75F5" w:rsidRPr="002E5F16" w:rsidTr="00A9460B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3.6.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prechodného obdobia </w:t>
            </w:r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predkladania </w:t>
            </w:r>
            <w:proofErr w:type="spellStart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Uvedenie schémy k procesu vrátenia finančných prostriedkov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Usmernenia MF SR v súvislosti s vysporiadaním finančných vzťahov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3.10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/kap. 3.11</w:t>
            </w:r>
          </w:p>
        </w:tc>
        <w:tc>
          <w:tcPr>
            <w:tcW w:w="3686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D0EFC" w:rsidRPr="00E246C3" w:rsidRDefault="00CD0EFC" w:rsidP="00FB381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kapitoly Monitorovanie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projektu (vypustenie 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monitorovacích správ, zmena projektu typ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 m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torovanie 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cez ITMS)</w:t>
            </w:r>
            <w:r w:rsidR="00A113E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úprava kontroly zmeny projektu aj v kap. 3.13. </w:t>
            </w:r>
          </w:p>
        </w:tc>
      </w:tr>
      <w:tr w:rsidR="00502973" w:rsidRPr="002E5F16" w:rsidTr="00A9460B">
        <w:trPr>
          <w:jc w:val="center"/>
        </w:trPr>
        <w:tc>
          <w:tcPr>
            <w:tcW w:w="1417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názvu kapitoly</w:t>
            </w:r>
          </w:p>
          <w:p w:rsidR="00502973" w:rsidRDefault="00502973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metodického dokumentu Vytvorenie a zmena projektu v</w:t>
            </w:r>
            <w:r w:rsidR="00A02C2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poznámky pod čiarou č. 14 – právny úkon zmeny zmluvy nahrádza dodatok k zmluve, ktorý sa nevyhotovuje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v prípade technickej zmeny (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označenie zmeny zmluvy), povinnosť zmenu zverejniť v</w:t>
            </w:r>
            <w:r w:rsidR="005F468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5F468F" w:rsidRDefault="005F468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charakteru formálnej zmeny </w:t>
            </w:r>
          </w:p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zmene projektu, validácii návrhu zmeny projektu a vytvorení návrhu zmeny projektu vo verejnej časti</w:t>
            </w:r>
          </w:p>
        </w:tc>
      </w:tr>
      <w:tr w:rsidR="00A113E4" w:rsidRPr="002E5F16" w:rsidTr="00A9460B">
        <w:trPr>
          <w:jc w:val="center"/>
        </w:trPr>
        <w:tc>
          <w:tcPr>
            <w:tcW w:w="1417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automatickom znížení výšky NFP pri nedosiahnutí merateľného ukazovateľa výstupu</w:t>
            </w:r>
          </w:p>
        </w:tc>
      </w:tr>
      <w:tr w:rsidR="00C63F01" w:rsidRPr="002E5F16" w:rsidTr="00A9460B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3.19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Dodatočné výdavky</w:t>
            </w:r>
          </w:p>
        </w:tc>
      </w:tr>
      <w:tr w:rsidR="00C63F01" w:rsidRPr="002E5F16" w:rsidTr="00A9460B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3.20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Projekty generujúce príjem</w:t>
            </w:r>
          </w:p>
        </w:tc>
      </w:tr>
      <w:tr w:rsidR="00C63F01" w:rsidRPr="002E5F16" w:rsidTr="00C63F01">
        <w:trPr>
          <w:trHeight w:val="1166"/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3.21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C63F01" w:rsidRPr="00C63F01" w:rsidRDefault="00C63F01" w:rsidP="007E75F5">
            <w:pPr>
              <w:pStyle w:val="Nadpis2"/>
              <w:numPr>
                <w:ilvl w:val="0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Doplnenie novej kapitoly </w:t>
            </w:r>
            <w:bookmarkStart w:id="0" w:name="_Toc184298318"/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Špecifické aspekty implementácie projektov dopravnej infraštruktúry - Odolnosť infraštruktúry proti zmene klímy/geologické aspekty projektov PSK</w:t>
            </w:r>
            <w:bookmarkEnd w:id="0"/>
          </w:p>
        </w:tc>
      </w:tr>
      <w:tr w:rsidR="00471AE2" w:rsidRPr="002E5F16" w:rsidTr="00A9460B">
        <w:trPr>
          <w:jc w:val="center"/>
        </w:trPr>
        <w:tc>
          <w:tcPr>
            <w:tcW w:w="1417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8</w:t>
            </w:r>
          </w:p>
        </w:tc>
        <w:tc>
          <w:tcPr>
            <w:tcW w:w="3686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471AE2" w:rsidRPr="00E246C3" w:rsidRDefault="00471AE2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následnej monitorovacej správy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Príloha 13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14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Postupy realizácie projektov generujúcich príjem</w:t>
            </w:r>
          </w:p>
        </w:tc>
      </w:tr>
      <w:tr w:rsidR="0070675C" w:rsidRPr="002E5F16" w:rsidTr="00CD0EFC">
        <w:trPr>
          <w:trHeight w:val="816"/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15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0675C" w:rsidRPr="00C37F57" w:rsidRDefault="00FB381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</w:t>
            </w:r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="0070675C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Definície a metodické zásady Inžiniersko-geologického prieskumu 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16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novej prílohy  </w:t>
            </w:r>
            <w:r w:rsidRPr="00523A0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Orientačný zoznam adaptačných riešení</w:t>
            </w:r>
          </w:p>
        </w:tc>
      </w:tr>
      <w:tr w:rsidR="000E30C0" w:rsidRPr="00737A7A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gridSpan w:val="2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0E30C0" w:rsidRPr="002E5F16" w:rsidTr="00A9460B">
        <w:trPr>
          <w:jc w:val="center"/>
        </w:trPr>
        <w:tc>
          <w:tcPr>
            <w:tcW w:w="1417" w:type="dxa"/>
            <w:vAlign w:val="center"/>
          </w:tcPr>
          <w:p w:rsidR="000E30C0" w:rsidRPr="004254A7" w:rsidRDefault="000E30C0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3686" w:type="dxa"/>
            <w:vAlign w:val="center"/>
          </w:tcPr>
          <w:p w:rsidR="000E30C0" w:rsidRPr="004254A7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0E30C0" w:rsidRPr="00F603B1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3120" w:type="dxa"/>
            <w:gridSpan w:val="2"/>
            <w:vAlign w:val="center"/>
          </w:tcPr>
          <w:p w:rsidR="000E30C0" w:rsidRPr="00F603B1" w:rsidRDefault="00F603B1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07/2025</w:t>
            </w:r>
          </w:p>
        </w:tc>
      </w:tr>
      <w:tr w:rsidR="000E30C0" w:rsidRPr="00737A7A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3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E30C0" w:rsidTr="00A9460B">
        <w:trPr>
          <w:jc w:val="center"/>
        </w:trPr>
        <w:tc>
          <w:tcPr>
            <w:tcW w:w="1417" w:type="dxa"/>
            <w:vAlign w:val="center"/>
          </w:tcPr>
          <w:p w:rsidR="000E30C0" w:rsidRDefault="00303749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1</w:t>
            </w:r>
          </w:p>
        </w:tc>
        <w:tc>
          <w:tcPr>
            <w:tcW w:w="3686" w:type="dxa"/>
            <w:vAlign w:val="center"/>
          </w:tcPr>
          <w:p w:rsidR="000E30C0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0E30C0" w:rsidRDefault="00303749" w:rsidP="00A9460B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Úprava zverejnenia zmeny prílohy príručky – na webovom sídle SO (vypustenie web sídla RO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prelinkom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)</w:t>
            </w:r>
          </w:p>
        </w:tc>
      </w:tr>
      <w:tr w:rsidR="00814C3F" w:rsidRPr="00370018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303749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</w:t>
            </w:r>
            <w:r w:rsidR="0030374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FC" w:rsidRDefault="00A219FC" w:rsidP="008F7115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Doplnenie formálneho predloženia dokumentácie v ITMS21+</w:t>
            </w:r>
          </w:p>
          <w:p w:rsidR="008F7115" w:rsidRDefault="008F7115" w:rsidP="008F7115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8F7115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úprava postupov v príp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ade </w:t>
            </w:r>
            <w:r w:rsidR="00A219FC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elektronickej 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komunikácie prijímateľa s SO</w:t>
            </w:r>
          </w:p>
          <w:p w:rsidR="00714EC1" w:rsidRDefault="008F7115" w:rsidP="00714EC1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v</w:t>
            </w:r>
            <w:r w:rsidR="00303749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ypustenie</w:t>
            </w:r>
            <w:r w:rsidR="00370018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 uloženia dokumentácie na CD/DVD</w:t>
            </w:r>
          </w:p>
          <w:p w:rsidR="00714EC1" w:rsidRPr="00714EC1" w:rsidRDefault="00714EC1" w:rsidP="00714EC1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714EC1">
              <w:rPr>
                <w:rFonts w:asciiTheme="minorHAnsi" w:hAnsiTheme="minorHAnsi"/>
                <w:b w:val="0"/>
                <w:color w:val="auto"/>
                <w:sz w:val="18"/>
                <w:szCs w:val="18"/>
              </w:rPr>
              <w:t>doplnenie možnosti predkladať dokumentáciu aj vo forme elektronického dokumentu ako pôvodný elektronický dokument alebo elektronický dokument vzniknutý zaručenou konverziou</w:t>
            </w:r>
            <w:r w:rsidRPr="00714EC1">
              <w:rPr>
                <w:color w:val="auto"/>
              </w:rPr>
              <w:t xml:space="preserve"> 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303749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303749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 prípade infraštruktúrnych projektov zabezpečiť bezbariérovú prístupnosť fyzického prostredia v </w:t>
            </w:r>
            <w:r w:rsidR="008F711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súlade s požiadavkami gestora horizontálnych princípov</w:t>
            </w:r>
          </w:p>
          <w:p w:rsidR="00303749" w:rsidRPr="00E246C3" w:rsidRDefault="00303749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plniť ďalšie skutočnosti týkajúce sa poskytovania príspevku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450C1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Pr="00E246C3" w:rsidRDefault="00450C1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Povinnosť prijímateľa predložiť na SO originál, resp. notárom overený dokument</w:t>
            </w:r>
            <w:r w:rsidR="007D680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 w:rsidR="007D6808" w:rsidRPr="007D680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alebo elektronický dokument v prípade, ak dokument bol vytvorený ako pôvodný elektronický dokument alebo elektronický dokument vzniknutý zaručenou konverziou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prípade zastupovania jeho osoby s uvedením rozsahu konania 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C66D6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Povinnosť prijímateľa </w:t>
            </w:r>
            <w:r w:rsidR="00A310E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predkladať do ITMS21+ podpísaný formulár žiadosti o kontrolu VO/O</w:t>
            </w:r>
          </w:p>
          <w:p w:rsidR="00814C3F" w:rsidRPr="00E246C3" w:rsidRDefault="00A310E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Povinnosť prijímateľa </w:t>
            </w:r>
            <w:r w:rsid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zaznamenať príslušné VO do ITMS21+ len raz </w:t>
            </w:r>
            <w:r w:rsidR="00C66D6D" w:rsidRP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(t. j. v rámci jedného VO sa na rozličné typy kontroly nevytvára nová evidencia </w:t>
            </w:r>
            <w:r w:rsid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VO v ITMS21+)</w:t>
            </w:r>
          </w:p>
        </w:tc>
      </w:tr>
      <w:tr w:rsidR="00814C3F" w:rsidRPr="00C37F57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C66D6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A16AA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31" w:rsidRDefault="00D15C3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pri uvádzaní začiatku realizácie hlavných aktivít projektu a ich vykázanie prostredníctvom zmeny projektu</w:t>
            </w:r>
            <w:r w:rsidR="00A310E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ITMS21+</w:t>
            </w:r>
            <w:r w:rsidR="00A16A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doplnenie poznámky pod čiarou</w:t>
            </w:r>
          </w:p>
          <w:p w:rsidR="007F47E7" w:rsidRPr="00C37F57" w:rsidRDefault="007F47E7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formuláru Hlásenia realizácie hlavných aktivít projektu </w:t>
            </w:r>
          </w:p>
        </w:tc>
      </w:tr>
      <w:tr w:rsidR="00A310EF" w:rsidRPr="00C37F57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A310E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A310EF" w:rsidP="00A16AA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Pr="00A310EF" w:rsidRDefault="00A310EF" w:rsidP="00A310E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DPH ako neoprávneného výdavku s výnimkou, ak nie je možné nárokovať jej odpočet podľa platnej legislatívy SR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D15C3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198" w:rsidRDefault="00D15C31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ustanovení o predkladaní </w:t>
            </w:r>
            <w:proofErr w:type="spellStart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listinne a elektronicky</w:t>
            </w:r>
          </w:p>
          <w:p w:rsidR="00D15C31" w:rsidRDefault="002E1198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poznámky v prípade predkladania </w:t>
            </w:r>
            <w:proofErr w:type="spellStart"/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prostredníctvom ITMS splnomocnenou osobou, pričom súčasťou dokumentácie musí byť originál, resp. úradne osvedčené plnomocenstvo</w:t>
            </w:r>
          </w:p>
          <w:p w:rsidR="00814C3F" w:rsidRDefault="00D15C31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predložiť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sken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podpísaného formulára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rámci príloh v evidencii Komunikácia v ITMS21+ v prípade, ak je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predložená zo strany určenej osoby prijímateľa</w:t>
            </w:r>
          </w:p>
          <w:p w:rsidR="008875BC" w:rsidRDefault="008875BC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Dokumentácia k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uplatňovania súhrnného účtovného dokladu, ktorý sa uplatňuje aj v prípade vykazovania výdavkov systémom sumarizačných hárkov</w:t>
            </w:r>
          </w:p>
          <w:p w:rsidR="002E1198" w:rsidRPr="002E1198" w:rsidRDefault="008875BC" w:rsidP="002E119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výpočtu príloh účtovných dokladov zahrnutých do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977392" w:rsidRDefault="00C66D6D" w:rsidP="00977392">
            <w:p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C37F57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času oznámenia</w:t>
            </w:r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používania účtov prijímateľom - najneskôr pri zaslaní prvej </w:t>
            </w:r>
            <w:proofErr w:type="spellStart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C66D6D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informácie k vedeniu evidencie majetku, záväzkov, príjmov a výdavkov v účtovných knihách 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podľa § 15 ods. 1 zákona o účtovníctve </w:t>
            </w:r>
          </w:p>
          <w:p w:rsidR="00977392" w:rsidRPr="00E246C3" w:rsidRDefault="00977392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preukazovaniu oprávnenosti výdavkov pri výdavkoch vykazovaných formou zjednodušeného vykazovania výdavkov – nepreukazujú sa účtovnými dokladmi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977392" w:rsidRDefault="00C66D6D" w:rsidP="00977392">
            <w:p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nezrovnalosť, za ktoré sa považuje aj porušenie právnych dokumentov upravujúcich pravidlá a podmienky poskytnutia/použitia finančných prostriedkov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nezrovnalosť – nezrovnalosťou sa rozumie aj podozrenie z nezrovnalosti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„Správa o zistenej nezrovnalosti“, ktorou SO oznamuje prijímateľovi nezrovnalosť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 tom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ak má podozrenie z ne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rovnalosti alebo zistená nezrovnalosť finančný dopad, SO predkladá spolu so správou aj žiadosť o vrátenie finančných prostriedkov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vysporiadaní finančných vzťahov (možnosť vrátenia len časti NFP)</w:t>
            </w:r>
          </w:p>
          <w:p w:rsidR="004A3C86" w:rsidRPr="004A3C86" w:rsidRDefault="004A3C86" w:rsidP="004A3C86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pohľadávkový doklad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4A3C86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verejná časť ITMS21+ pri monitorovaní projektu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SO informovať prijímateľa o výsledku kontroly monitorovacej správy prostredníctvom ITMS21+ alebo v prípade jeho nefunkčnosti zaslaním elektronickou poštou alebo ÚPVS</w:t>
            </w:r>
          </w:p>
          <w:p w:rsidR="00634A1E" w:rsidRDefault="00634A1E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do časti Zmena projektu/Predmet zmeny projektu/Dodatku uviesť informácie týkajúce sa aktuálneho stavu projektu, riziká projektu a posun v projekte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 každom type monitorovania vykonať aj monitorovanie horizontáln</w:t>
            </w:r>
            <w:r w:rsidR="00DE046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ych princípov 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povinnosti predkladať monitorovacie správy </w:t>
            </w:r>
            <w:r w:rsidR="00634A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prijímateľom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za celý projekt aj v prípade, ak sa jedná o partnerský projekt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zachovaní  monitorovacích termínoch, o ktorých je prijímateľ notifikovaný 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</w:t>
            </w:r>
            <w:r w:rsidR="00634A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MS počas realizácie aktivít proje</w:t>
            </w:r>
            <w:r w:rsidR="007859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ktu</w:t>
            </w:r>
          </w:p>
          <w:p w:rsidR="0078591F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ZMS pri ukončení realizácie projektu </w:t>
            </w:r>
          </w:p>
          <w:p w:rsidR="0078591F" w:rsidRPr="00A6646B" w:rsidRDefault="0078591F" w:rsidP="00A6646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NMS v období udržateľnosti  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BD5D7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6B" w:rsidRDefault="00A6646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vykazovaní MU priebežne v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raz ročné v rámci monitorovanie projektu v monitorovacej správe a v rámci MS aj priamo v ITMS</w:t>
            </w:r>
          </w:p>
          <w:p w:rsidR="00C66D6D" w:rsidRPr="00C37F57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 o pravidlách zmien cieľových hodnôt MU, ktoré sú uvedené v Čl. 16 VZP</w:t>
            </w:r>
            <w:r w:rsidR="00C66D6D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oznámení o formálnej zmene/menej významnej zmene</w:t>
            </w:r>
            <w:r w:rsidR="00CA42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 predkladaní žiadosti o zmenu zmluvy (významnejšia zmena) prostr</w:t>
            </w:r>
            <w:r w:rsidR="00CA426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edníctvom prílohy č. 2 príručky</w:t>
            </w:r>
          </w:p>
          <w:p w:rsidR="00CA4264" w:rsidRDefault="00CA4264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prílohy č. 1 (oznámenie o menej významnej zmene)</w:t>
            </w:r>
          </w:p>
          <w:p w:rsidR="00A6646B" w:rsidRDefault="00A6646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plošnej zmene projektu, ktorá nadobúda účinnosť nasledujúci deň po zverejnení zmien v ITMS, ak v zmene zmluvy nie je uvedený neskorší dátum účinnosti</w:t>
            </w:r>
          </w:p>
          <w:p w:rsidR="0078591F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tom, že informácie o zmene projektu predkladá prijímateľ SO písomne v elektronickej podobe prostredníctvom ITMS podpísaný štatutárnym orgánom, resp. splnomocneným zástupcom 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zníženiu výšky NFP v prípade technickej zmeny (technickou zmenou dochádza k zníženiu výšky NFP buď na základe výsledku finančnej kontroly VO, na základe stanovenia finančnej opravy v prípade porušenia pravidiel a postupov VO alebo na základe sankčného mechanizmu pri nenaplnení merateľného ukazovateľa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; doplnenie ustanovenia k oprávnenosti výdavkov týkajúce sa technickej zmeny, 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formálnej zmene – napr. zmena čísla účtu prijímateľa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premietnuť menej významnú zmenu prijímateľom do ITMS cez zmenu projektu, 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možnosti predkladať menej významnú zmenu aj z iniciatívy SO;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predkladať žiadosť o zmenu zmluvy (významnejšia zmena) prostredníctvom ITMS21+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zrealizovaniu ex-post významnejšej zmeny prostredníctvom písomného dodatku k Zmluve, ktorý sa vyhotoví najneskôr pred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ktorá ako prvá zahŕňa výdavky, ktoré sú požadovanou ex-post zmenou dotknuté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; doplnenie ustanovenia o </w:t>
            </w:r>
            <w:proofErr w:type="spellStart"/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prejednaní</w:t>
            </w:r>
            <w:proofErr w:type="spellEnd"/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návrhu na zmenu predložené cez žiadosť o zmenu</w:t>
            </w:r>
          </w:p>
          <w:p w:rsidR="0050032F" w:rsidRPr="0050032F" w:rsidRDefault="0050032F" w:rsidP="0050032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ex-post významnejšej zmene – schválená ex-post významnejšia zmena sa realizuje prostredníctvom písomného dodatku k zmluve, ktorý sa vyhotovuje najneskôr pred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ktorá ako prvá zahŕňa niektoré výdavky, ktoré sú dotknuté ex-post  zmenou 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50032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oprávnenosti poskytovateľa vykonať kontrolu všetkých skutočností súvisiacich s projektom počas kontroly projektu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presadzovaní výkonu kontroly založenom na analýze rizík</w:t>
            </w:r>
          </w:p>
          <w:p w:rsidR="00C66D6D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umožniť výkon kontroly/auditu zo strany oprávnených osôb, až do uplynutia lehôt podľa čl. 6 ods. 6.2 Zmluvy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Administratívna finančná kontrola VO</w:t>
            </w:r>
            <w:r w:rsidR="00920DB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/O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oprávnenia SO a ÚVO </w:t>
            </w:r>
            <w:r w:rsidR="003F451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vykonať opätovnú kontrolu, ktoré sa vzťahuje aj na prípadné dodatky k zmluvám s úspešným uchádzačom po nadobudnutí ich účinnosti </w:t>
            </w:r>
          </w:p>
          <w:p w:rsidR="003F4517" w:rsidRPr="00C37F57" w:rsidRDefault="003F4517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Finančná kontrola na mieste – doplnenie </w:t>
            </w:r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výkonu </w:t>
            </w:r>
            <w:proofErr w:type="spellStart"/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so zohľadnením analýzy rizík, doplnenie výkonu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na základe poverenia na výkon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536922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E246C3" w:rsidRDefault="00C66D6D" w:rsidP="00536922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</w:t>
            </w:r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sankčného mechanizmu vo vzťahu k merateľným ukazovateľom</w:t>
            </w:r>
          </w:p>
        </w:tc>
      </w:tr>
      <w:tr w:rsidR="0050032F" w:rsidRPr="00E246C3" w:rsidTr="0050032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CF079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Pr="00E246C3" w:rsidRDefault="00CA4264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</w:t>
            </w:r>
            <w:r w:rsidR="00CF07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povinnosti prijímateľa informovať SO o ukončení realizácie HAP a podporných aktivít prostredníctvom ITMS. V prípade neukončenia realizácie HAP do termínu ukončenia realizácie HAP sa uvedené považuje za podstatné porušenie Zmluvy</w:t>
            </w:r>
          </w:p>
        </w:tc>
      </w:tr>
      <w:tr w:rsidR="0050032F" w:rsidRPr="00E246C3" w:rsidTr="0050032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Pr="00CF0798" w:rsidRDefault="00CF079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</w:pPr>
            <w:r w:rsidRPr="00CF07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A946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povinnosti prijímateľa, partnera a užívateľa mať vysporiadané majetkovo-právne vzťahy k nehnuteľnostiam, na ktorých má byť projekt realizovaný</w:t>
            </w:r>
          </w:p>
          <w:p w:rsidR="00A9460B" w:rsidRDefault="00A9460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tom, že pravidlá oprávnenosti a dokladovania oprávnených výdavkov sú uvedené v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PkOV</w:t>
            </w:r>
            <w:proofErr w:type="spellEnd"/>
          </w:p>
          <w:p w:rsidR="00A9460B" w:rsidRPr="00E246C3" w:rsidRDefault="00A9460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prevodu a prechodu práv a povinností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A9460B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A946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ustanovenia o tom, že na partnera sa primerane vzťahujú všetky povinnosti prijímateľa v oblasti zabezpečenia pohľadávok </w:t>
            </w:r>
          </w:p>
          <w:p w:rsidR="00A9460B" w:rsidRPr="00E246C3" w:rsidRDefault="006A642F" w:rsidP="006A642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ustanovení k poisteniu </w:t>
            </w:r>
            <w:r w:rsidR="00B5600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majetku, poisteniu zálohu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 záložnému právu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EE7F0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linku na verejnú časť ITMS</w:t>
            </w:r>
          </w:p>
          <w:p w:rsidR="00EE7F0F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ustanovenia o ITMS2014+</w:t>
            </w:r>
          </w:p>
          <w:p w:rsidR="00EE7F0F" w:rsidRPr="00E246C3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vkladať do ITMS úplnú, presnú a pravdivú dokumentáciu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EE7F0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EE7F0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</w:t>
            </w:r>
            <w:r w:rsidR="00EE7F0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plnenie čl. 12 VZP ohľadom uchovávania dokumentácie</w:t>
            </w:r>
          </w:p>
          <w:p w:rsidR="00EE7F0F" w:rsidRPr="00E246C3" w:rsidRDefault="00990441" w:rsidP="00EE7F0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SO uchovávať dokumentáciu, ktorú prijímateľ vloží do ITMS výhradne v ITMS, bez ich vytlačenia do listinnej podoby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CF0798" w:rsidRDefault="0099044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E246C3" w:rsidRDefault="0099044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najčastejších chýb v priebehu implementácie projektu </w:t>
            </w:r>
          </w:p>
        </w:tc>
      </w:tr>
      <w:tr w:rsidR="00645AC7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Vypustená príloha č. 1</w:t>
            </w:r>
          </w:p>
        </w:tc>
      </w:tr>
      <w:tr w:rsidR="00A16AA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Príloha č.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BE2110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procesu etapy poskytnutia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(predloženie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spolu s neuhradenými účtovnými dokladmi alebo časťami neuhradených účtovných dokladov prijatých od dodávateľa v lehote splatnosti záväzku a relevantnú podpornú dokumentáciu)</w:t>
            </w:r>
          </w:p>
          <w:p w:rsidR="00BE2110" w:rsidRDefault="00BE2110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predložení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lehote splatnosti tak, aby bola dodržaná maximálna možná lehota na splnenie peňažného záväzku 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maximálnej výšky zálohovej platby (vzorec)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prepočítať maximálnu výšku zálohovej platby zo strany SO počas realizácie projektu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vrátiť SO sumu nezúčtovaného rozdielu v prípade, ak nedôjde k dodržaniu podmienky zúčtovania zálohovej platby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povinnosti vrátiť preplatok zo zúčtovania preddavkovej platby najneskôr spolu s predložením doplňujúcich údajov k preukázaniu dodania predmetu plnenia</w:t>
            </w:r>
          </w:p>
        </w:tc>
      </w:tr>
      <w:tr w:rsidR="00A16AA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16AA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„Sankčná kalkulačka“</w:t>
            </w:r>
          </w:p>
        </w:tc>
      </w:tr>
      <w:tr w:rsidR="00BD5D78" w:rsidRPr="00737A7A" w:rsidTr="00F2312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gridSpan w:val="2"/>
            <w:shd w:val="clear" w:color="auto" w:fill="D6E3BC" w:themeFill="accent3" w:themeFillTint="66"/>
            <w:vAlign w:val="center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BD5D78" w:rsidRPr="00F603B1" w:rsidTr="00F2312B">
        <w:trPr>
          <w:jc w:val="center"/>
        </w:trPr>
        <w:tc>
          <w:tcPr>
            <w:tcW w:w="1417" w:type="dxa"/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3686" w:type="dxa"/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BD5D78" w:rsidRPr="00F603B1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3120" w:type="dxa"/>
            <w:gridSpan w:val="2"/>
            <w:vAlign w:val="center"/>
          </w:tcPr>
          <w:p w:rsidR="00BD5D78" w:rsidRPr="00F603B1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11/2025</w:t>
            </w:r>
          </w:p>
        </w:tc>
      </w:tr>
      <w:tr w:rsidR="00BD5D78" w:rsidRPr="00737A7A" w:rsidTr="00F2312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3"/>
            <w:shd w:val="clear" w:color="auto" w:fill="D6E3BC" w:themeFill="accent3" w:themeFillTint="66"/>
          </w:tcPr>
          <w:p w:rsidR="00BD5D78" w:rsidRPr="00737A7A" w:rsidRDefault="00BD5D78" w:rsidP="00F2312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BD5D78" w:rsidRPr="00F603B1" w:rsidTr="007D3625">
        <w:trPr>
          <w:jc w:val="center"/>
        </w:trPr>
        <w:tc>
          <w:tcPr>
            <w:tcW w:w="1417" w:type="dxa"/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vAlign w:val="center"/>
          </w:tcPr>
          <w:p w:rsidR="00BD5D78" w:rsidRDefault="00BD5D78" w:rsidP="00BD5D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dodatočné výdavky oprávnené na financovanie zo zmluvy o poskytnutí NFP</w:t>
            </w:r>
          </w:p>
          <w:p w:rsidR="00BD5D78" w:rsidRDefault="00BD5D78" w:rsidP="00BD5D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výpočtu neoprávnených výdavkov k dodatočným prácam</w:t>
            </w:r>
          </w:p>
          <w:p w:rsidR="00BD5D78" w:rsidRPr="00BD5D78" w:rsidRDefault="00BD5D78" w:rsidP="00BD5D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k naviac prácam z dôvodu geológie</w:t>
            </w:r>
          </w:p>
        </w:tc>
      </w:tr>
      <w:tr w:rsidR="00BD5D78" w:rsidRPr="00F603B1" w:rsidTr="00C534F7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BD5D78" w:rsidRDefault="00BD5D78" w:rsidP="00BD5D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tom, že detailné podmienky na stavebné práce a dodatočné výdavky z dôvodu inej geológie musia byť definované v konkrétnych výzvach na predkladanie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ŽoNFP</w:t>
            </w:r>
            <w:proofErr w:type="spellEnd"/>
          </w:p>
        </w:tc>
      </w:tr>
      <w:tr w:rsidR="00BD5D78" w:rsidRPr="00F603B1" w:rsidTr="008130BC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F603B1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BD5D78" w:rsidRPr="00737A7A" w:rsidTr="004407B5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Verzia</w:t>
            </w:r>
          </w:p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IMP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Zmenu vykonal a overil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Zmenu schválil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737A7A" w:rsidRDefault="00BD5D78" w:rsidP="00BD5D7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BD5D78" w:rsidRPr="00F603B1" w:rsidTr="00440D3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BD5D7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4254A7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F603B1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78" w:rsidRPr="00F603B1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  <w:t>12/2025</w:t>
            </w:r>
          </w:p>
        </w:tc>
      </w:tr>
      <w:tr w:rsidR="00BD5D78" w:rsidRPr="00737A7A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 xml:space="preserve">Číslo kapitoly/ bod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 xml:space="preserve">Dôvod 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5D78" w:rsidRPr="00BD5D78" w:rsidRDefault="00BD5D78" w:rsidP="00BD5D7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</w:pPr>
            <w:r w:rsidRPr="00BD5D78">
              <w:rPr>
                <w:rFonts w:asciiTheme="minorHAnsi" w:hAnsiTheme="minorHAnsi" w:cstheme="minorHAnsi"/>
                <w:bCs/>
                <w:caps w:val="0"/>
                <w:sz w:val="18"/>
                <w:szCs w:val="18"/>
              </w:rPr>
              <w:t>Konkrétny popis zmeny</w:t>
            </w:r>
          </w:p>
        </w:tc>
      </w:tr>
      <w:tr w:rsidR="00624281" w:rsidRPr="00BD5D78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624281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624281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dátumu vydania na titulnú stranu</w:t>
            </w:r>
          </w:p>
        </w:tc>
      </w:tr>
      <w:tr w:rsidR="00BD5D78" w:rsidRPr="00BD5D78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E83AA6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použitých skratiek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Default="00E83AA6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názvu príručky k VO</w:t>
            </w:r>
          </w:p>
          <w:p w:rsidR="00E83AA6" w:rsidRDefault="00E83AA6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označovania monitorovacích správ</w:t>
            </w:r>
          </w:p>
          <w:p w:rsidR="00A0459D" w:rsidRPr="00BD5D78" w:rsidRDefault="00A0459D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MS o „zmenu typu monitorovanie“</w:t>
            </w:r>
            <w:bookmarkStart w:id="1" w:name="_GoBack"/>
            <w:bookmarkEnd w:id="1"/>
          </w:p>
        </w:tc>
      </w:tr>
      <w:tr w:rsidR="00BD5D78" w:rsidRPr="00BD5D78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E83AA6" w:rsidP="00E83AA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624281" w:rsidRDefault="00E83AA6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Čl. 2 ods. 7 VZP</w:t>
            </w:r>
            <w:r w:rsidR="0043324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k horizontálnym princípom</w:t>
            </w:r>
          </w:p>
        </w:tc>
      </w:tr>
      <w:tr w:rsidR="00BD5D78" w:rsidRPr="00F603B1" w:rsidTr="00BD5D7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433243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Pr="00BD5D78" w:rsidRDefault="00BD5D78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D78" w:rsidRDefault="00433243" w:rsidP="0043324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prostredníctvom ITMS  informovať SO o kalendárnom dni začatia a ukončenia realizácie hlavných a podporných aktivít projektu</w:t>
            </w:r>
          </w:p>
          <w:p w:rsidR="00433243" w:rsidRPr="00433243" w:rsidRDefault="00433243" w:rsidP="0043324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pojmu „o dodaní tovaru“ na „na dodanie tovaru“</w:t>
            </w:r>
          </w:p>
        </w:tc>
      </w:tr>
      <w:tr w:rsidR="00433243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Default="00433243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„poskytnutý“ NFP</w:t>
            </w:r>
          </w:p>
          <w:p w:rsidR="00433243" w:rsidRPr="00433243" w:rsidRDefault="00433243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ustanovení k medzinárodným sankciám </w:t>
            </w:r>
            <w:r w:rsidR="00222BC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a povinnosti predkladať na SO Čestné vyhlásenie k uplatňovaniu medzinárodných sankcii a Čestné </w:t>
            </w:r>
            <w:r w:rsidR="00222BC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 xml:space="preserve">vyhlásenie k vlastníckej a riadiacej štruktúre </w:t>
            </w:r>
          </w:p>
        </w:tc>
      </w:tr>
      <w:tr w:rsidR="00433243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3.7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typu financovania v prípade neúročeného účtu</w:t>
            </w:r>
          </w:p>
        </w:tc>
      </w:tr>
      <w:tr w:rsidR="00433243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„vyplatený“</w:t>
            </w:r>
          </w:p>
          <w:p w:rsidR="00222BC0" w:rsidRP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Nahradenie pojmu „čiastka NFP“ na „suma NFP“</w:t>
            </w:r>
          </w:p>
        </w:tc>
      </w:tr>
      <w:tr w:rsidR="00433243" w:rsidRPr="00433243" w:rsidTr="00433243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Pr="00BD5D78" w:rsidRDefault="00433243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pojmu výročná monitorovacia správa </w:t>
            </w:r>
          </w:p>
          <w:p w:rsidR="00222BC0" w:rsidRP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povinnosti prijímateľa predložiť za monitorované obdobie, ktoré sa týka roku, v ktorom bola ukončená realizácia aktivít projektu, iba záverečnú Monitorovaciu správu a nie aj výročnú Monitorovaciu správu</w:t>
            </w:r>
          </w:p>
        </w:tc>
      </w:tr>
      <w:tr w:rsidR="00222BC0" w:rsidRPr="00433243" w:rsidTr="00222BC0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BD5D78" w:rsidRDefault="00222BC0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možnosti SO predkladať menej významné zmeny</w:t>
            </w:r>
          </w:p>
        </w:tc>
      </w:tr>
      <w:tr w:rsidR="00222BC0" w:rsidRPr="00433243" w:rsidTr="00222BC0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BD5D78" w:rsidRDefault="00222BC0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BD5D78" w:rsidRDefault="00222BC0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C0" w:rsidRPr="00433243" w:rsidRDefault="00222BC0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pojmu „do dočasného užívania“ na pojem „o dočasnom užívaní“</w:t>
            </w:r>
          </w:p>
        </w:tc>
      </w:tr>
      <w:tr w:rsidR="004426E4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3.16, 3.17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433243" w:rsidRDefault="004426E4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„poskytnutý“ NFP</w:t>
            </w:r>
          </w:p>
        </w:tc>
      </w:tr>
      <w:tr w:rsidR="004426E4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3.21.2</w:t>
            </w:r>
            <w:r w:rsidR="00246A3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3.21.3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433243" w:rsidRDefault="004426E4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Úprava etapy inžiniersko-geologického prieskumu a ich vzťahu ku stupňu projektovej prípravy vzhľadom na nový stavebný zákon č. 25/2025 Z. z. </w:t>
            </w:r>
          </w:p>
        </w:tc>
      </w:tr>
      <w:tr w:rsidR="004426E4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433243" w:rsidRDefault="004426E4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novej kapitoly „Mechanizmus odmeňovania zhotoviteľa“ </w:t>
            </w:r>
          </w:p>
        </w:tc>
      </w:tr>
      <w:tr w:rsidR="004426E4" w:rsidRPr="00433243" w:rsidTr="004426E4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BD5D78" w:rsidRDefault="004426E4" w:rsidP="00F2312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E4" w:rsidRPr="00433243" w:rsidRDefault="00CF72D7" w:rsidP="00F2312B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predkladať monitorovacie správy v stanovených termínoch prostredníctvom ITMS</w:t>
            </w:r>
            <w:r w:rsidR="004426E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624281" w:rsidRPr="00433243" w:rsidTr="0060189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433243" w:rsidRDefault="00624281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prílohy vo vzťahu ku stupňu projektovej prípravy vzhľadom na nový stavebný zákon č. 25/2025 Z. z.</w:t>
            </w:r>
          </w:p>
        </w:tc>
      </w:tr>
      <w:tr w:rsidR="004326E8" w:rsidRPr="00433243" w:rsidTr="0060189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E8" w:rsidRDefault="004326E8" w:rsidP="00624281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E8" w:rsidRPr="00BD5D78" w:rsidRDefault="004326E8" w:rsidP="00624281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E8" w:rsidRDefault="004326E8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postupu v prípade zúčtovania zálohovej platby prijímateľa, ktorý je štátna rozpočtová organizácia – prijímateľ nie je oprávnený do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zúčtovanie zálohovej platby zahrnúť aj výdavky, </w:t>
            </w:r>
            <w:r w:rsidRPr="004326E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ktoré uhradil pred dňom aktivácie rozpočtového opatrenia/pripísania finančných prostriedkov za zdroj EÚ a ŠR na spolufinancovanie na účte prijímateľa</w:t>
            </w:r>
          </w:p>
          <w:p w:rsidR="00482117" w:rsidRDefault="00482117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povinnosti vrátiť vzniknutý preplatok najneskôr spolu s predložením doplňujúcich údajov k preukázaniu dodania predmetu plnenia</w:t>
            </w:r>
          </w:p>
        </w:tc>
      </w:tr>
      <w:tr w:rsidR="00624281" w:rsidRPr="00433243" w:rsidTr="0060189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624281" w:rsidP="00624281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Default="00482117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čestného vyhlásenia k uplatňovaniu medzinárodných sankcii</w:t>
            </w:r>
          </w:p>
        </w:tc>
      </w:tr>
      <w:tr w:rsidR="00624281" w:rsidRPr="00433243" w:rsidTr="00601898">
        <w:trPr>
          <w:trHeight w:val="5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BD5D78" w:rsidRDefault="00624281" w:rsidP="00624281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81" w:rsidRPr="00433243" w:rsidRDefault="00624281" w:rsidP="00624281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prílohy vo vzťahu ku stupňu projektovej prípravy vzhľadom na nový stavebný zákon č. 25/2025 Z. z.</w:t>
            </w:r>
          </w:p>
        </w:tc>
      </w:tr>
    </w:tbl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</w:p>
    <w:sectPr w:rsidR="0025786A" w:rsidRPr="002E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6EF" w:rsidRDefault="004C56EF" w:rsidP="000D1598">
      <w:pPr>
        <w:spacing w:before="0" w:after="0"/>
      </w:pPr>
      <w:r>
        <w:separator/>
      </w:r>
    </w:p>
  </w:endnote>
  <w:endnote w:type="continuationSeparator" w:id="0">
    <w:p w:rsidR="004C56EF" w:rsidRDefault="004C56EF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6EF" w:rsidRDefault="004C56EF" w:rsidP="000D1598">
      <w:pPr>
        <w:spacing w:before="0" w:after="0"/>
      </w:pPr>
      <w:r>
        <w:separator/>
      </w:r>
    </w:p>
  </w:footnote>
  <w:footnote w:type="continuationSeparator" w:id="0">
    <w:p w:rsidR="004C56EF" w:rsidRDefault="004C56EF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5A5" w:rsidRDefault="004775A5" w:rsidP="004775A5">
    <w:pPr>
      <w:pStyle w:val="Hlavika"/>
    </w:pPr>
    <w:r>
      <w:rPr>
        <w:noProof/>
        <w:lang w:eastAsia="sk-SK"/>
      </w:rPr>
      <w:drawing>
        <wp:inline distT="0" distB="0" distL="0" distR="0" wp14:anchorId="61A1EAD4" wp14:editId="3844365B">
          <wp:extent cx="5731510" cy="410210"/>
          <wp:effectExtent l="0" t="0" r="2540" b="889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5A5" w:rsidRDefault="004775A5" w:rsidP="004775A5">
    <w:pPr>
      <w:pStyle w:val="Hlavika"/>
      <w:jc w:val="both"/>
    </w:pPr>
  </w:p>
  <w:p w:rsidR="004775A5" w:rsidRPr="00A2544C" w:rsidRDefault="00A2544C" w:rsidP="004775A5">
    <w:pPr>
      <w:pStyle w:val="Hlavika"/>
      <w:jc w:val="both"/>
      <w:rPr>
        <w:rFonts w:ascii="Calibri" w:hAnsi="Calibri" w:cs="Calibri"/>
        <w:b w:val="0"/>
        <w:i/>
        <w:sz w:val="24"/>
      </w:rPr>
    </w:pPr>
    <w:r w:rsidRPr="00A2544C">
      <w:rPr>
        <w:rFonts w:ascii="Calibri" w:hAnsi="Calibri" w:cs="Calibri"/>
        <w:b w:val="0"/>
        <w:i/>
        <w:sz w:val="20"/>
        <w:szCs w:val="18"/>
      </w:rPr>
      <w:t>Príloha č. 7</w:t>
    </w:r>
    <w:r>
      <w:rPr>
        <w:rFonts w:ascii="Calibri" w:hAnsi="Calibri" w:cs="Calibri"/>
        <w:b w:val="0"/>
        <w:i/>
        <w:sz w:val="20"/>
        <w:szCs w:val="18"/>
      </w:rPr>
      <w:t xml:space="preserve"> 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9B7"/>
    <w:multiLevelType w:val="hybridMultilevel"/>
    <w:tmpl w:val="9CEC98EC"/>
    <w:lvl w:ilvl="0" w:tplc="46E4042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40D1"/>
    <w:multiLevelType w:val="hybridMultilevel"/>
    <w:tmpl w:val="EE34DCD0"/>
    <w:lvl w:ilvl="0" w:tplc="880CAAB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B686F"/>
    <w:multiLevelType w:val="multilevel"/>
    <w:tmpl w:val="EE48DFA4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0070C0"/>
        <w:sz w:val="24"/>
      </w:rPr>
    </w:lvl>
    <w:lvl w:ilvl="1">
      <w:start w:val="17"/>
      <w:numFmt w:val="decimal"/>
      <w:lvlText w:val="%1.%2"/>
      <w:lvlJc w:val="left"/>
      <w:pPr>
        <w:ind w:left="1080" w:hanging="360"/>
      </w:pPr>
      <w:rPr>
        <w:rFonts w:ascii="Arial Narrow" w:hAnsi="Arial Narrow" w:cs="Calibri" w:hint="default"/>
        <w:b/>
        <w:color w:val="0070C0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hAnsi="Calibri" w:cs="Calibri" w:hint="default"/>
        <w:b/>
        <w:color w:val="0070C0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alibri" w:hAnsi="Calibri" w:cs="Calibri" w:hint="default"/>
        <w:b/>
        <w:color w:val="0070C0"/>
        <w:sz w:val="24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Calibri" w:hAnsi="Calibri" w:cs="Calibri" w:hint="default"/>
        <w:b/>
        <w:color w:val="0070C0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alibri" w:hAnsi="Calibri" w:cs="Calibri" w:hint="default"/>
        <w:b/>
        <w:color w:val="0070C0"/>
        <w:sz w:val="24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Calibri" w:hAnsi="Calibri" w:cs="Calibri" w:hint="default"/>
        <w:b/>
        <w:color w:val="0070C0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alibri" w:hAnsi="Calibri" w:cs="Calibri" w:hint="default"/>
        <w:b/>
        <w:color w:val="0070C0"/>
        <w:sz w:val="24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Calibri" w:hAnsi="Calibri" w:cs="Calibri" w:hint="default"/>
        <w:b/>
        <w:color w:val="0070C0"/>
        <w:sz w:val="24"/>
      </w:rPr>
    </w:lvl>
  </w:abstractNum>
  <w:abstractNum w:abstractNumId="13" w15:restartNumberingAfterBreak="0">
    <w:nsid w:val="41191D26"/>
    <w:multiLevelType w:val="hybridMultilevel"/>
    <w:tmpl w:val="C19607C8"/>
    <w:lvl w:ilvl="0" w:tplc="138A033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45EB8"/>
    <w:multiLevelType w:val="hybridMultilevel"/>
    <w:tmpl w:val="545CC5F0"/>
    <w:lvl w:ilvl="0" w:tplc="B1CEA0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2917293"/>
    <w:multiLevelType w:val="hybridMultilevel"/>
    <w:tmpl w:val="832CD7BE"/>
    <w:lvl w:ilvl="0" w:tplc="B4CC6E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806EB"/>
    <w:multiLevelType w:val="multilevel"/>
    <w:tmpl w:val="5E4E432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/>
        <w:color w:val="FFFFFF" w:themeColor="background1"/>
      </w:rPr>
    </w:lvl>
    <w:lvl w:ilvl="1">
      <w:start w:val="3"/>
      <w:numFmt w:val="decimal"/>
      <w:pStyle w:val="Nadpis2"/>
      <w:isLgl/>
      <w:lvlText w:val="%1.%2"/>
      <w:lvlJc w:val="left"/>
      <w:pPr>
        <w:ind w:left="1064" w:hanging="780"/>
      </w:pPr>
      <w:rPr>
        <w:rFonts w:ascii="Arial Narrow" w:hAnsi="Arial Narrow" w:cs="Times New Roman"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i w:val="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8"/>
  </w:num>
  <w:num w:numId="5">
    <w:abstractNumId w:val="3"/>
  </w:num>
  <w:num w:numId="6">
    <w:abstractNumId w:val="14"/>
  </w:num>
  <w:num w:numId="7">
    <w:abstractNumId w:val="17"/>
  </w:num>
  <w:num w:numId="8">
    <w:abstractNumId w:val="19"/>
  </w:num>
  <w:num w:numId="9">
    <w:abstractNumId w:val="10"/>
  </w:num>
  <w:num w:numId="10">
    <w:abstractNumId w:val="18"/>
  </w:num>
  <w:num w:numId="11">
    <w:abstractNumId w:val="2"/>
  </w:num>
  <w:num w:numId="12">
    <w:abstractNumId w:val="5"/>
  </w:num>
  <w:num w:numId="13">
    <w:abstractNumId w:val="9"/>
  </w:num>
  <w:num w:numId="14">
    <w:abstractNumId w:val="16"/>
  </w:num>
  <w:num w:numId="15">
    <w:abstractNumId w:val="1"/>
  </w:num>
  <w:num w:numId="16">
    <w:abstractNumId w:val="6"/>
  </w:num>
  <w:num w:numId="17">
    <w:abstractNumId w:val="22"/>
  </w:num>
  <w:num w:numId="18">
    <w:abstractNumId w:val="15"/>
  </w:num>
  <w:num w:numId="19">
    <w:abstractNumId w:val="7"/>
  </w:num>
  <w:num w:numId="20">
    <w:abstractNumId w:val="13"/>
  </w:num>
  <w:num w:numId="21">
    <w:abstractNumId w:val="20"/>
  </w:num>
  <w:num w:numId="22">
    <w:abstractNumId w:val="0"/>
  </w:num>
  <w:num w:numId="23">
    <w:abstractNumId w:val="2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272D1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07C6"/>
    <w:rsid w:val="00052AEB"/>
    <w:rsid w:val="00052CCC"/>
    <w:rsid w:val="00053E4F"/>
    <w:rsid w:val="00054A52"/>
    <w:rsid w:val="0005633F"/>
    <w:rsid w:val="000571F3"/>
    <w:rsid w:val="00061BA2"/>
    <w:rsid w:val="00062D6F"/>
    <w:rsid w:val="00063DF9"/>
    <w:rsid w:val="00065F1D"/>
    <w:rsid w:val="00073420"/>
    <w:rsid w:val="000764A6"/>
    <w:rsid w:val="000777DA"/>
    <w:rsid w:val="000777E7"/>
    <w:rsid w:val="000777F0"/>
    <w:rsid w:val="00083AA2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1A54"/>
    <w:rsid w:val="000E30C0"/>
    <w:rsid w:val="000E4FB2"/>
    <w:rsid w:val="000F06B8"/>
    <w:rsid w:val="000F3606"/>
    <w:rsid w:val="000F467D"/>
    <w:rsid w:val="000F6190"/>
    <w:rsid w:val="000F7C88"/>
    <w:rsid w:val="00100CC4"/>
    <w:rsid w:val="001067A5"/>
    <w:rsid w:val="00110071"/>
    <w:rsid w:val="00110711"/>
    <w:rsid w:val="001131CD"/>
    <w:rsid w:val="001134B0"/>
    <w:rsid w:val="001147E8"/>
    <w:rsid w:val="00121066"/>
    <w:rsid w:val="001211DB"/>
    <w:rsid w:val="00121C70"/>
    <w:rsid w:val="00126D0F"/>
    <w:rsid w:val="001433E1"/>
    <w:rsid w:val="00146DB3"/>
    <w:rsid w:val="0015105D"/>
    <w:rsid w:val="001521A0"/>
    <w:rsid w:val="00153D8B"/>
    <w:rsid w:val="001567F5"/>
    <w:rsid w:val="00160EB6"/>
    <w:rsid w:val="00161091"/>
    <w:rsid w:val="00162CDB"/>
    <w:rsid w:val="001656EF"/>
    <w:rsid w:val="00170872"/>
    <w:rsid w:val="00172B2B"/>
    <w:rsid w:val="0017341F"/>
    <w:rsid w:val="001743AA"/>
    <w:rsid w:val="0017564E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870"/>
    <w:rsid w:val="001C2925"/>
    <w:rsid w:val="001C39C8"/>
    <w:rsid w:val="001C3E8D"/>
    <w:rsid w:val="001C4C55"/>
    <w:rsid w:val="001C5539"/>
    <w:rsid w:val="001C5CC4"/>
    <w:rsid w:val="001C60CE"/>
    <w:rsid w:val="001C6C72"/>
    <w:rsid w:val="001C6D10"/>
    <w:rsid w:val="001C784C"/>
    <w:rsid w:val="001D077B"/>
    <w:rsid w:val="001D0987"/>
    <w:rsid w:val="001D3B53"/>
    <w:rsid w:val="001D3CFF"/>
    <w:rsid w:val="001D4E40"/>
    <w:rsid w:val="001D5B4D"/>
    <w:rsid w:val="001E2303"/>
    <w:rsid w:val="001E321B"/>
    <w:rsid w:val="001F1259"/>
    <w:rsid w:val="001F7F46"/>
    <w:rsid w:val="00200608"/>
    <w:rsid w:val="002142F2"/>
    <w:rsid w:val="00216E5B"/>
    <w:rsid w:val="00222BC0"/>
    <w:rsid w:val="00231F1B"/>
    <w:rsid w:val="0023290A"/>
    <w:rsid w:val="00232B1F"/>
    <w:rsid w:val="002357C1"/>
    <w:rsid w:val="00235DA6"/>
    <w:rsid w:val="00240F0F"/>
    <w:rsid w:val="00241C93"/>
    <w:rsid w:val="00242566"/>
    <w:rsid w:val="00242D2E"/>
    <w:rsid w:val="002449C6"/>
    <w:rsid w:val="00244F10"/>
    <w:rsid w:val="00245257"/>
    <w:rsid w:val="002467AD"/>
    <w:rsid w:val="00246A3F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3E37"/>
    <w:rsid w:val="00297E65"/>
    <w:rsid w:val="002A03C6"/>
    <w:rsid w:val="002A3125"/>
    <w:rsid w:val="002A48D4"/>
    <w:rsid w:val="002A49F6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198"/>
    <w:rsid w:val="002E1377"/>
    <w:rsid w:val="002E1A12"/>
    <w:rsid w:val="002E1DFC"/>
    <w:rsid w:val="002E4AAD"/>
    <w:rsid w:val="002E5B3B"/>
    <w:rsid w:val="002E5F16"/>
    <w:rsid w:val="002F457C"/>
    <w:rsid w:val="002F4C2B"/>
    <w:rsid w:val="002F60C8"/>
    <w:rsid w:val="002F6245"/>
    <w:rsid w:val="002F7787"/>
    <w:rsid w:val="002F7E6D"/>
    <w:rsid w:val="00303749"/>
    <w:rsid w:val="00313318"/>
    <w:rsid w:val="00313919"/>
    <w:rsid w:val="00313C47"/>
    <w:rsid w:val="00314834"/>
    <w:rsid w:val="0031523F"/>
    <w:rsid w:val="003176AF"/>
    <w:rsid w:val="003206F1"/>
    <w:rsid w:val="00322F18"/>
    <w:rsid w:val="0032782D"/>
    <w:rsid w:val="003344CB"/>
    <w:rsid w:val="003374D9"/>
    <w:rsid w:val="00337B5F"/>
    <w:rsid w:val="00341950"/>
    <w:rsid w:val="00350507"/>
    <w:rsid w:val="0035195F"/>
    <w:rsid w:val="00353CF1"/>
    <w:rsid w:val="003560A6"/>
    <w:rsid w:val="00363467"/>
    <w:rsid w:val="00364EA1"/>
    <w:rsid w:val="00365FBE"/>
    <w:rsid w:val="003666AF"/>
    <w:rsid w:val="00366D5A"/>
    <w:rsid w:val="00367FF2"/>
    <w:rsid w:val="00370018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3F74"/>
    <w:rsid w:val="003A519B"/>
    <w:rsid w:val="003B0BC5"/>
    <w:rsid w:val="003B1FA1"/>
    <w:rsid w:val="003C52D8"/>
    <w:rsid w:val="003C74D6"/>
    <w:rsid w:val="003D0C46"/>
    <w:rsid w:val="003D33F2"/>
    <w:rsid w:val="003E18B9"/>
    <w:rsid w:val="003E1D8C"/>
    <w:rsid w:val="003E57D8"/>
    <w:rsid w:val="003E586B"/>
    <w:rsid w:val="003F0DE7"/>
    <w:rsid w:val="003F4517"/>
    <w:rsid w:val="003F6DF6"/>
    <w:rsid w:val="00400B4E"/>
    <w:rsid w:val="00401CB0"/>
    <w:rsid w:val="00401F26"/>
    <w:rsid w:val="00406AA6"/>
    <w:rsid w:val="004103D6"/>
    <w:rsid w:val="00412D54"/>
    <w:rsid w:val="0041791D"/>
    <w:rsid w:val="0042247A"/>
    <w:rsid w:val="00423DAD"/>
    <w:rsid w:val="004254A7"/>
    <w:rsid w:val="0043016F"/>
    <w:rsid w:val="00431307"/>
    <w:rsid w:val="004326E8"/>
    <w:rsid w:val="00433243"/>
    <w:rsid w:val="00433988"/>
    <w:rsid w:val="00433CE6"/>
    <w:rsid w:val="00434033"/>
    <w:rsid w:val="00440C80"/>
    <w:rsid w:val="00441B28"/>
    <w:rsid w:val="004426E4"/>
    <w:rsid w:val="00442804"/>
    <w:rsid w:val="00442D81"/>
    <w:rsid w:val="00450C11"/>
    <w:rsid w:val="004541FC"/>
    <w:rsid w:val="00457ACB"/>
    <w:rsid w:val="00460D78"/>
    <w:rsid w:val="004639C8"/>
    <w:rsid w:val="00464171"/>
    <w:rsid w:val="004660E2"/>
    <w:rsid w:val="00471AE2"/>
    <w:rsid w:val="00473E11"/>
    <w:rsid w:val="00474069"/>
    <w:rsid w:val="004775A5"/>
    <w:rsid w:val="0048093B"/>
    <w:rsid w:val="00482117"/>
    <w:rsid w:val="0048447E"/>
    <w:rsid w:val="00493702"/>
    <w:rsid w:val="00493E20"/>
    <w:rsid w:val="004A0310"/>
    <w:rsid w:val="004A320C"/>
    <w:rsid w:val="004A3C86"/>
    <w:rsid w:val="004A437F"/>
    <w:rsid w:val="004A77E9"/>
    <w:rsid w:val="004B1AD8"/>
    <w:rsid w:val="004B2DBB"/>
    <w:rsid w:val="004B4AC8"/>
    <w:rsid w:val="004B60F9"/>
    <w:rsid w:val="004B7C27"/>
    <w:rsid w:val="004C0E3E"/>
    <w:rsid w:val="004C20A1"/>
    <w:rsid w:val="004C5139"/>
    <w:rsid w:val="004C56EF"/>
    <w:rsid w:val="004D09C8"/>
    <w:rsid w:val="004D12D9"/>
    <w:rsid w:val="004D4AB0"/>
    <w:rsid w:val="004D4CB5"/>
    <w:rsid w:val="004D59BB"/>
    <w:rsid w:val="004D6A11"/>
    <w:rsid w:val="004D6A4A"/>
    <w:rsid w:val="004D71D9"/>
    <w:rsid w:val="004D73BF"/>
    <w:rsid w:val="004D740C"/>
    <w:rsid w:val="004E019D"/>
    <w:rsid w:val="004E0EFF"/>
    <w:rsid w:val="004E197A"/>
    <w:rsid w:val="004E3E85"/>
    <w:rsid w:val="004E4114"/>
    <w:rsid w:val="004E4584"/>
    <w:rsid w:val="004E7242"/>
    <w:rsid w:val="004F20C0"/>
    <w:rsid w:val="004F6E02"/>
    <w:rsid w:val="0050032F"/>
    <w:rsid w:val="0050057C"/>
    <w:rsid w:val="005021E5"/>
    <w:rsid w:val="00502973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27C3C"/>
    <w:rsid w:val="00531852"/>
    <w:rsid w:val="00536922"/>
    <w:rsid w:val="00546AE6"/>
    <w:rsid w:val="00552125"/>
    <w:rsid w:val="00553EDE"/>
    <w:rsid w:val="005548EF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6742"/>
    <w:rsid w:val="005A09A7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77DA"/>
    <w:rsid w:val="005D14DF"/>
    <w:rsid w:val="005D1DCA"/>
    <w:rsid w:val="005D3439"/>
    <w:rsid w:val="005D5D18"/>
    <w:rsid w:val="005D7A42"/>
    <w:rsid w:val="005E1D5B"/>
    <w:rsid w:val="005E3ECC"/>
    <w:rsid w:val="005E6FBA"/>
    <w:rsid w:val="005F0401"/>
    <w:rsid w:val="005F0DAE"/>
    <w:rsid w:val="005F3C06"/>
    <w:rsid w:val="005F468F"/>
    <w:rsid w:val="005F5A1E"/>
    <w:rsid w:val="005F6A18"/>
    <w:rsid w:val="005F7F2C"/>
    <w:rsid w:val="00601898"/>
    <w:rsid w:val="00603070"/>
    <w:rsid w:val="00612351"/>
    <w:rsid w:val="00616D4B"/>
    <w:rsid w:val="00616F89"/>
    <w:rsid w:val="006174F2"/>
    <w:rsid w:val="006207D2"/>
    <w:rsid w:val="00620E23"/>
    <w:rsid w:val="0062308E"/>
    <w:rsid w:val="00624281"/>
    <w:rsid w:val="00624A1B"/>
    <w:rsid w:val="00624CA2"/>
    <w:rsid w:val="006311D3"/>
    <w:rsid w:val="006318DA"/>
    <w:rsid w:val="00634A1E"/>
    <w:rsid w:val="00635B7D"/>
    <w:rsid w:val="00635FD9"/>
    <w:rsid w:val="00637E22"/>
    <w:rsid w:val="006442D6"/>
    <w:rsid w:val="00645AC7"/>
    <w:rsid w:val="00646689"/>
    <w:rsid w:val="006468D4"/>
    <w:rsid w:val="0065263B"/>
    <w:rsid w:val="006529F6"/>
    <w:rsid w:val="006533DD"/>
    <w:rsid w:val="00653FEC"/>
    <w:rsid w:val="00664288"/>
    <w:rsid w:val="006670F5"/>
    <w:rsid w:val="006705A8"/>
    <w:rsid w:val="0067165F"/>
    <w:rsid w:val="00671E1C"/>
    <w:rsid w:val="006728DF"/>
    <w:rsid w:val="00673107"/>
    <w:rsid w:val="00677043"/>
    <w:rsid w:val="00682ED7"/>
    <w:rsid w:val="006907EF"/>
    <w:rsid w:val="00690B61"/>
    <w:rsid w:val="00691087"/>
    <w:rsid w:val="006922CB"/>
    <w:rsid w:val="006940A5"/>
    <w:rsid w:val="006957BD"/>
    <w:rsid w:val="00696FFC"/>
    <w:rsid w:val="00697706"/>
    <w:rsid w:val="006A22A7"/>
    <w:rsid w:val="006A616F"/>
    <w:rsid w:val="006A642F"/>
    <w:rsid w:val="006B07F0"/>
    <w:rsid w:val="006B0D4A"/>
    <w:rsid w:val="006B2698"/>
    <w:rsid w:val="006B2F4E"/>
    <w:rsid w:val="006B6004"/>
    <w:rsid w:val="006D1DC8"/>
    <w:rsid w:val="006D46A4"/>
    <w:rsid w:val="006E06C2"/>
    <w:rsid w:val="006F4D04"/>
    <w:rsid w:val="006F5CA9"/>
    <w:rsid w:val="006F6930"/>
    <w:rsid w:val="006F789F"/>
    <w:rsid w:val="0070675C"/>
    <w:rsid w:val="00706A76"/>
    <w:rsid w:val="00706B5F"/>
    <w:rsid w:val="0070735A"/>
    <w:rsid w:val="0071036F"/>
    <w:rsid w:val="007114EB"/>
    <w:rsid w:val="00714EC1"/>
    <w:rsid w:val="00715649"/>
    <w:rsid w:val="00717087"/>
    <w:rsid w:val="00720139"/>
    <w:rsid w:val="00727970"/>
    <w:rsid w:val="00730996"/>
    <w:rsid w:val="00734C99"/>
    <w:rsid w:val="00737A7A"/>
    <w:rsid w:val="00743467"/>
    <w:rsid w:val="00751DE3"/>
    <w:rsid w:val="0075780C"/>
    <w:rsid w:val="00762568"/>
    <w:rsid w:val="00763C9F"/>
    <w:rsid w:val="007662DF"/>
    <w:rsid w:val="007723DF"/>
    <w:rsid w:val="00772B57"/>
    <w:rsid w:val="0077529D"/>
    <w:rsid w:val="0078591F"/>
    <w:rsid w:val="00785F25"/>
    <w:rsid w:val="00787934"/>
    <w:rsid w:val="00790D43"/>
    <w:rsid w:val="007926F4"/>
    <w:rsid w:val="00794BEC"/>
    <w:rsid w:val="007A33C5"/>
    <w:rsid w:val="007B1828"/>
    <w:rsid w:val="007B1E8F"/>
    <w:rsid w:val="007B440D"/>
    <w:rsid w:val="007B5626"/>
    <w:rsid w:val="007B5A50"/>
    <w:rsid w:val="007B5F32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6808"/>
    <w:rsid w:val="007D71A9"/>
    <w:rsid w:val="007D7685"/>
    <w:rsid w:val="007D7FE6"/>
    <w:rsid w:val="007E0CFF"/>
    <w:rsid w:val="007E19B6"/>
    <w:rsid w:val="007E2BC0"/>
    <w:rsid w:val="007E314E"/>
    <w:rsid w:val="007E6CE9"/>
    <w:rsid w:val="007E75F5"/>
    <w:rsid w:val="007F47E7"/>
    <w:rsid w:val="007F5AE8"/>
    <w:rsid w:val="00801C7C"/>
    <w:rsid w:val="00803105"/>
    <w:rsid w:val="00804104"/>
    <w:rsid w:val="00804995"/>
    <w:rsid w:val="008049DB"/>
    <w:rsid w:val="008054FA"/>
    <w:rsid w:val="008113FB"/>
    <w:rsid w:val="00811988"/>
    <w:rsid w:val="00813A7C"/>
    <w:rsid w:val="00814C3F"/>
    <w:rsid w:val="00815B6E"/>
    <w:rsid w:val="0082078A"/>
    <w:rsid w:val="00822195"/>
    <w:rsid w:val="0082241E"/>
    <w:rsid w:val="008231BD"/>
    <w:rsid w:val="00826156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5EE1"/>
    <w:rsid w:val="00866B3B"/>
    <w:rsid w:val="00866FDA"/>
    <w:rsid w:val="008701E8"/>
    <w:rsid w:val="00872DD2"/>
    <w:rsid w:val="00873428"/>
    <w:rsid w:val="0088317D"/>
    <w:rsid w:val="0088512C"/>
    <w:rsid w:val="00885260"/>
    <w:rsid w:val="008875BC"/>
    <w:rsid w:val="008956D4"/>
    <w:rsid w:val="00897714"/>
    <w:rsid w:val="00897C77"/>
    <w:rsid w:val="00897FC0"/>
    <w:rsid w:val="008A314A"/>
    <w:rsid w:val="008A3528"/>
    <w:rsid w:val="008A7FBC"/>
    <w:rsid w:val="008B3531"/>
    <w:rsid w:val="008B3D4C"/>
    <w:rsid w:val="008B5C4B"/>
    <w:rsid w:val="008C2667"/>
    <w:rsid w:val="008C3CF3"/>
    <w:rsid w:val="008D1182"/>
    <w:rsid w:val="008D1894"/>
    <w:rsid w:val="008D56B7"/>
    <w:rsid w:val="008D5BF4"/>
    <w:rsid w:val="008D63D4"/>
    <w:rsid w:val="008E240D"/>
    <w:rsid w:val="008E3B23"/>
    <w:rsid w:val="008E46F2"/>
    <w:rsid w:val="008E5541"/>
    <w:rsid w:val="008F20BC"/>
    <w:rsid w:val="008F65DC"/>
    <w:rsid w:val="008F6A84"/>
    <w:rsid w:val="008F7115"/>
    <w:rsid w:val="008F7F2B"/>
    <w:rsid w:val="00902449"/>
    <w:rsid w:val="009040AE"/>
    <w:rsid w:val="009074D4"/>
    <w:rsid w:val="00907B3B"/>
    <w:rsid w:val="00913536"/>
    <w:rsid w:val="00915DBB"/>
    <w:rsid w:val="009203B1"/>
    <w:rsid w:val="00920A5F"/>
    <w:rsid w:val="00920DBD"/>
    <w:rsid w:val="00920E23"/>
    <w:rsid w:val="00921CC5"/>
    <w:rsid w:val="00922AC8"/>
    <w:rsid w:val="00926F7C"/>
    <w:rsid w:val="00932BA8"/>
    <w:rsid w:val="00934C83"/>
    <w:rsid w:val="009521B6"/>
    <w:rsid w:val="00952815"/>
    <w:rsid w:val="009570F4"/>
    <w:rsid w:val="00962753"/>
    <w:rsid w:val="00965757"/>
    <w:rsid w:val="009721BE"/>
    <w:rsid w:val="009733D9"/>
    <w:rsid w:val="00977392"/>
    <w:rsid w:val="00986EEA"/>
    <w:rsid w:val="00990441"/>
    <w:rsid w:val="0099274A"/>
    <w:rsid w:val="00992E69"/>
    <w:rsid w:val="00992FD4"/>
    <w:rsid w:val="0099316A"/>
    <w:rsid w:val="0099692E"/>
    <w:rsid w:val="009A2C25"/>
    <w:rsid w:val="009A549B"/>
    <w:rsid w:val="009B2263"/>
    <w:rsid w:val="009B7221"/>
    <w:rsid w:val="009C2D0C"/>
    <w:rsid w:val="009C5587"/>
    <w:rsid w:val="009D4B26"/>
    <w:rsid w:val="009E49F7"/>
    <w:rsid w:val="009E4BA8"/>
    <w:rsid w:val="009E4E1A"/>
    <w:rsid w:val="009E60E7"/>
    <w:rsid w:val="009F031B"/>
    <w:rsid w:val="009F1B6B"/>
    <w:rsid w:val="009F4DBF"/>
    <w:rsid w:val="00A016B3"/>
    <w:rsid w:val="00A024FC"/>
    <w:rsid w:val="00A02C29"/>
    <w:rsid w:val="00A03135"/>
    <w:rsid w:val="00A040B7"/>
    <w:rsid w:val="00A0459D"/>
    <w:rsid w:val="00A06140"/>
    <w:rsid w:val="00A0644C"/>
    <w:rsid w:val="00A07532"/>
    <w:rsid w:val="00A113E4"/>
    <w:rsid w:val="00A13A08"/>
    <w:rsid w:val="00A16AA8"/>
    <w:rsid w:val="00A200F6"/>
    <w:rsid w:val="00A20B2A"/>
    <w:rsid w:val="00A219FC"/>
    <w:rsid w:val="00A23CF6"/>
    <w:rsid w:val="00A2544C"/>
    <w:rsid w:val="00A259DD"/>
    <w:rsid w:val="00A25EE8"/>
    <w:rsid w:val="00A310EF"/>
    <w:rsid w:val="00A351A6"/>
    <w:rsid w:val="00A35318"/>
    <w:rsid w:val="00A354A9"/>
    <w:rsid w:val="00A417D1"/>
    <w:rsid w:val="00A41C21"/>
    <w:rsid w:val="00A44AD4"/>
    <w:rsid w:val="00A4588C"/>
    <w:rsid w:val="00A55C7F"/>
    <w:rsid w:val="00A5628F"/>
    <w:rsid w:val="00A5770B"/>
    <w:rsid w:val="00A62585"/>
    <w:rsid w:val="00A6272D"/>
    <w:rsid w:val="00A657AB"/>
    <w:rsid w:val="00A6646B"/>
    <w:rsid w:val="00A669AD"/>
    <w:rsid w:val="00A67F2D"/>
    <w:rsid w:val="00A70EF0"/>
    <w:rsid w:val="00A724D2"/>
    <w:rsid w:val="00A73358"/>
    <w:rsid w:val="00A766BD"/>
    <w:rsid w:val="00A842B3"/>
    <w:rsid w:val="00A8730C"/>
    <w:rsid w:val="00A87859"/>
    <w:rsid w:val="00A926BC"/>
    <w:rsid w:val="00A94576"/>
    <w:rsid w:val="00A9460B"/>
    <w:rsid w:val="00AA08A6"/>
    <w:rsid w:val="00AA2C69"/>
    <w:rsid w:val="00AA4056"/>
    <w:rsid w:val="00AB1157"/>
    <w:rsid w:val="00AB4101"/>
    <w:rsid w:val="00AC3E6D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6009"/>
    <w:rsid w:val="00B56E0D"/>
    <w:rsid w:val="00B5789C"/>
    <w:rsid w:val="00B61400"/>
    <w:rsid w:val="00B63938"/>
    <w:rsid w:val="00B664F2"/>
    <w:rsid w:val="00B671C9"/>
    <w:rsid w:val="00B67A52"/>
    <w:rsid w:val="00B760F5"/>
    <w:rsid w:val="00B809DD"/>
    <w:rsid w:val="00B8195D"/>
    <w:rsid w:val="00B82BCE"/>
    <w:rsid w:val="00B8530C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5A95"/>
    <w:rsid w:val="00BC6F57"/>
    <w:rsid w:val="00BC7581"/>
    <w:rsid w:val="00BD2F99"/>
    <w:rsid w:val="00BD5D78"/>
    <w:rsid w:val="00BE2110"/>
    <w:rsid w:val="00BF58DA"/>
    <w:rsid w:val="00C02B4A"/>
    <w:rsid w:val="00C02FA7"/>
    <w:rsid w:val="00C12573"/>
    <w:rsid w:val="00C34574"/>
    <w:rsid w:val="00C35313"/>
    <w:rsid w:val="00C360E9"/>
    <w:rsid w:val="00C41F96"/>
    <w:rsid w:val="00C422C7"/>
    <w:rsid w:val="00C43FD6"/>
    <w:rsid w:val="00C44B14"/>
    <w:rsid w:val="00C4722A"/>
    <w:rsid w:val="00C5161C"/>
    <w:rsid w:val="00C526CE"/>
    <w:rsid w:val="00C5660B"/>
    <w:rsid w:val="00C61C7F"/>
    <w:rsid w:val="00C61D19"/>
    <w:rsid w:val="00C63F01"/>
    <w:rsid w:val="00C644FA"/>
    <w:rsid w:val="00C6642F"/>
    <w:rsid w:val="00C66D6D"/>
    <w:rsid w:val="00C6729B"/>
    <w:rsid w:val="00C7048E"/>
    <w:rsid w:val="00C76D6F"/>
    <w:rsid w:val="00C90E1E"/>
    <w:rsid w:val="00C92076"/>
    <w:rsid w:val="00C93230"/>
    <w:rsid w:val="00C95EEC"/>
    <w:rsid w:val="00C97BB9"/>
    <w:rsid w:val="00C97EAA"/>
    <w:rsid w:val="00CA3B1E"/>
    <w:rsid w:val="00CA4264"/>
    <w:rsid w:val="00CA4A94"/>
    <w:rsid w:val="00CA5E63"/>
    <w:rsid w:val="00CB1297"/>
    <w:rsid w:val="00CB2763"/>
    <w:rsid w:val="00CB7A28"/>
    <w:rsid w:val="00CC2FF8"/>
    <w:rsid w:val="00CC3B56"/>
    <w:rsid w:val="00CC5FB8"/>
    <w:rsid w:val="00CD0EFC"/>
    <w:rsid w:val="00CD2E82"/>
    <w:rsid w:val="00CE27A0"/>
    <w:rsid w:val="00CE3E84"/>
    <w:rsid w:val="00CE49B1"/>
    <w:rsid w:val="00CF0798"/>
    <w:rsid w:val="00CF11D0"/>
    <w:rsid w:val="00CF1218"/>
    <w:rsid w:val="00CF2710"/>
    <w:rsid w:val="00CF3355"/>
    <w:rsid w:val="00CF3A3B"/>
    <w:rsid w:val="00CF72D7"/>
    <w:rsid w:val="00CF777F"/>
    <w:rsid w:val="00CF7F2B"/>
    <w:rsid w:val="00D042D2"/>
    <w:rsid w:val="00D07301"/>
    <w:rsid w:val="00D109AF"/>
    <w:rsid w:val="00D1470C"/>
    <w:rsid w:val="00D15085"/>
    <w:rsid w:val="00D15C31"/>
    <w:rsid w:val="00D15D3B"/>
    <w:rsid w:val="00D21E0F"/>
    <w:rsid w:val="00D351BE"/>
    <w:rsid w:val="00D35841"/>
    <w:rsid w:val="00D35B2C"/>
    <w:rsid w:val="00D37447"/>
    <w:rsid w:val="00D379DA"/>
    <w:rsid w:val="00D40973"/>
    <w:rsid w:val="00D41994"/>
    <w:rsid w:val="00D43BE2"/>
    <w:rsid w:val="00D4671B"/>
    <w:rsid w:val="00D510BE"/>
    <w:rsid w:val="00D5147B"/>
    <w:rsid w:val="00D55210"/>
    <w:rsid w:val="00D56D91"/>
    <w:rsid w:val="00D57909"/>
    <w:rsid w:val="00D60EB5"/>
    <w:rsid w:val="00D6336B"/>
    <w:rsid w:val="00D64A07"/>
    <w:rsid w:val="00D75484"/>
    <w:rsid w:val="00D80504"/>
    <w:rsid w:val="00D8092A"/>
    <w:rsid w:val="00D8120A"/>
    <w:rsid w:val="00D822AC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C040D"/>
    <w:rsid w:val="00DC0D16"/>
    <w:rsid w:val="00DC1543"/>
    <w:rsid w:val="00DC2107"/>
    <w:rsid w:val="00DC62CF"/>
    <w:rsid w:val="00DC6AEC"/>
    <w:rsid w:val="00DD1EEE"/>
    <w:rsid w:val="00DD24A9"/>
    <w:rsid w:val="00DD2BFD"/>
    <w:rsid w:val="00DD6B64"/>
    <w:rsid w:val="00DD7519"/>
    <w:rsid w:val="00DE0468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42B3"/>
    <w:rsid w:val="00E16A7B"/>
    <w:rsid w:val="00E21B28"/>
    <w:rsid w:val="00E21B3C"/>
    <w:rsid w:val="00E2267D"/>
    <w:rsid w:val="00E246C3"/>
    <w:rsid w:val="00E27812"/>
    <w:rsid w:val="00E361DB"/>
    <w:rsid w:val="00E42DDE"/>
    <w:rsid w:val="00E442A1"/>
    <w:rsid w:val="00E47D7E"/>
    <w:rsid w:val="00E518C2"/>
    <w:rsid w:val="00E5201E"/>
    <w:rsid w:val="00E521C6"/>
    <w:rsid w:val="00E53015"/>
    <w:rsid w:val="00E536C7"/>
    <w:rsid w:val="00E554B6"/>
    <w:rsid w:val="00E55766"/>
    <w:rsid w:val="00E5689F"/>
    <w:rsid w:val="00E569A2"/>
    <w:rsid w:val="00E6080E"/>
    <w:rsid w:val="00E61F96"/>
    <w:rsid w:val="00E62D3B"/>
    <w:rsid w:val="00E62DCB"/>
    <w:rsid w:val="00E72474"/>
    <w:rsid w:val="00E73E7A"/>
    <w:rsid w:val="00E75DB8"/>
    <w:rsid w:val="00E77411"/>
    <w:rsid w:val="00E775C8"/>
    <w:rsid w:val="00E77967"/>
    <w:rsid w:val="00E807DC"/>
    <w:rsid w:val="00E80D00"/>
    <w:rsid w:val="00E819C9"/>
    <w:rsid w:val="00E83AA6"/>
    <w:rsid w:val="00E85A2E"/>
    <w:rsid w:val="00E85AC7"/>
    <w:rsid w:val="00E8684E"/>
    <w:rsid w:val="00E87FA3"/>
    <w:rsid w:val="00E958B7"/>
    <w:rsid w:val="00E96287"/>
    <w:rsid w:val="00E96BCA"/>
    <w:rsid w:val="00EA16F6"/>
    <w:rsid w:val="00EA2BE4"/>
    <w:rsid w:val="00EA2F4C"/>
    <w:rsid w:val="00EB10AF"/>
    <w:rsid w:val="00EB12CE"/>
    <w:rsid w:val="00EC0F6A"/>
    <w:rsid w:val="00EC18D5"/>
    <w:rsid w:val="00EC251B"/>
    <w:rsid w:val="00EC3196"/>
    <w:rsid w:val="00ED1276"/>
    <w:rsid w:val="00ED18D8"/>
    <w:rsid w:val="00ED1E8E"/>
    <w:rsid w:val="00ED3332"/>
    <w:rsid w:val="00ED3C2C"/>
    <w:rsid w:val="00ED621C"/>
    <w:rsid w:val="00EE08D3"/>
    <w:rsid w:val="00EE108B"/>
    <w:rsid w:val="00EE1A03"/>
    <w:rsid w:val="00EE2E50"/>
    <w:rsid w:val="00EE7F0F"/>
    <w:rsid w:val="00EF4B66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37FB9"/>
    <w:rsid w:val="00F40EFB"/>
    <w:rsid w:val="00F413FE"/>
    <w:rsid w:val="00F42A34"/>
    <w:rsid w:val="00F42EA9"/>
    <w:rsid w:val="00F44F0D"/>
    <w:rsid w:val="00F45449"/>
    <w:rsid w:val="00F474EE"/>
    <w:rsid w:val="00F47E16"/>
    <w:rsid w:val="00F52099"/>
    <w:rsid w:val="00F57008"/>
    <w:rsid w:val="00F603B1"/>
    <w:rsid w:val="00F6578B"/>
    <w:rsid w:val="00F669F7"/>
    <w:rsid w:val="00F6798B"/>
    <w:rsid w:val="00F72E8E"/>
    <w:rsid w:val="00F730AB"/>
    <w:rsid w:val="00F76924"/>
    <w:rsid w:val="00F818A5"/>
    <w:rsid w:val="00F83E21"/>
    <w:rsid w:val="00F87E84"/>
    <w:rsid w:val="00F900B7"/>
    <w:rsid w:val="00F91D80"/>
    <w:rsid w:val="00F92288"/>
    <w:rsid w:val="00F925BE"/>
    <w:rsid w:val="00F93F38"/>
    <w:rsid w:val="00F96CD1"/>
    <w:rsid w:val="00F9791B"/>
    <w:rsid w:val="00FA0CE6"/>
    <w:rsid w:val="00FA1878"/>
    <w:rsid w:val="00FB381F"/>
    <w:rsid w:val="00FB3F58"/>
    <w:rsid w:val="00FD0A86"/>
    <w:rsid w:val="00FD16E5"/>
    <w:rsid w:val="00FE121B"/>
    <w:rsid w:val="00FE1FD4"/>
    <w:rsid w:val="00FE244D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5E3EF310"/>
  <w15:docId w15:val="{1697FDF9-B2F5-48D1-9BE1-37BD384A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uiPriority w:val="99"/>
    <w:qFormat/>
    <w:rsid w:val="00C63F01"/>
    <w:pPr>
      <w:keepLines w:val="0"/>
      <w:numPr>
        <w:ilvl w:val="1"/>
        <w:numId w:val="23"/>
      </w:numPr>
      <w:spacing w:before="0" w:after="240" w:line="276" w:lineRule="auto"/>
      <w:jc w:val="left"/>
      <w:outlineLvl w:val="1"/>
    </w:pPr>
    <w:rPr>
      <w:rFonts w:ascii="Arial Narrow" w:hAnsi="Arial Narrow" w:cstheme="minorHAnsi"/>
      <w:bCs/>
      <w:caps w:val="0"/>
      <w:color w:val="4A81BD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"/>
    <w:link w:val="Odsekzoznamu"/>
    <w:uiPriority w:val="34"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rsid w:val="00C63F01"/>
    <w:rPr>
      <w:rFonts w:ascii="Arial Narrow" w:eastAsia="Times New Roman" w:hAnsi="Arial Narrow" w:cstheme="minorHAnsi"/>
      <w:b/>
      <w:bCs/>
      <w:color w:val="4A81BD"/>
      <w:sz w:val="28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61347-B6F9-43CE-9D72-D2030F5E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9</Pages>
  <Words>2473</Words>
  <Characters>14101</Characters>
  <Application>Microsoft Office Word</Application>
  <DocSecurity>0</DocSecurity>
  <Lines>117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Tehlar</dc:creator>
  <cp:keywords/>
  <dc:description/>
  <cp:lastModifiedBy>KH</cp:lastModifiedBy>
  <cp:revision>20</cp:revision>
  <cp:lastPrinted>2022-06-13T12:43:00Z</cp:lastPrinted>
  <dcterms:created xsi:type="dcterms:W3CDTF">2024-12-05T14:00:00Z</dcterms:created>
  <dcterms:modified xsi:type="dcterms:W3CDTF">2025-11-27T09:43:00Z</dcterms:modified>
</cp:coreProperties>
</file>